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ff0000"/>
        </w:rPr>
      </w:pPr>
      <w:bookmarkStart w:colFirst="0" w:colLast="0" w:name="_heading=h.a0w3t1bgxl43"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ff0000"/>
        </w:rPr>
      </w:pPr>
      <w:bookmarkStart w:colFirst="0" w:colLast="0" w:name="_heading=h.gjdgxs" w:id="1"/>
      <w:bookmarkEnd w:id="1"/>
      <w:r w:rsidDel="00000000" w:rsidR="00000000" w:rsidRPr="00000000">
        <w:rPr>
          <w:rFonts w:ascii="Calibri" w:cs="Calibri" w:eastAsia="Calibri" w:hAnsi="Calibri"/>
          <w:b w:val="1"/>
          <w:color w:val="ff0000"/>
          <w:rtl w:val="0"/>
        </w:rPr>
        <w:t xml:space="preserve">Poskytovatel informuje, že ke dni 24.2.2023 byl do článku 4 Specifické podmínky Rozhodnutí o poskytnutí podpory přidán nový odstavec doplňující článek 17 Všeobecných podmínek.</w:t>
      </w:r>
    </w:p>
    <w:p w:rsidR="00000000" w:rsidDel="00000000" w:rsidP="00000000" w:rsidRDefault="00000000" w:rsidRPr="00000000" w14:paraId="00000004">
      <w:pPr>
        <w:rPr>
          <w:rFonts w:ascii="Calibri" w:cs="Calibri" w:eastAsia="Calibri" w:hAnsi="Calibri"/>
          <w:b w:val="1"/>
          <w:color w:val="ff0000"/>
        </w:rPr>
      </w:pPr>
      <w:bookmarkStart w:colFirst="0" w:colLast="0" w:name="_heading=h.deuiwb3hta61" w:id="2"/>
      <w:bookmarkEnd w:id="2"/>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 na straně jedné,</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10">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6">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7">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8">
      <w:pPr>
        <w:spacing w:before="0" w:lineRule="auto"/>
        <w:rPr>
          <w:rFonts w:ascii="Calibri" w:cs="Calibri" w:eastAsia="Calibri" w:hAnsi="Calibri"/>
        </w:rPr>
      </w:pPr>
      <w:r w:rsidDel="00000000" w:rsidR="00000000" w:rsidRPr="00000000">
        <w:rPr>
          <w:rFonts w:ascii="Calibri" w:cs="Calibri" w:eastAsia="Calibri" w:hAnsi="Calibri"/>
          <w:rtl w:val="0"/>
        </w:rPr>
        <w:t xml:space="preserve">jako další účastník účelové podpory (dále jen „příjemce/další účastník“) na straně druhé</w:t>
      </w:r>
    </w:p>
    <w:p w:rsidR="00000000" w:rsidDel="00000000" w:rsidP="00000000" w:rsidRDefault="00000000" w:rsidRPr="00000000" w14:paraId="00000019">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before="360"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476800" cy="738072"/>
            <wp:effectExtent b="0" l="0" r="0" t="0"/>
            <wp:docPr id="5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76800" cy="73807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F">
      <w:pPr>
        <w:spacing w:after="60" w:lineRule="auto"/>
        <w:rPr>
          <w:rFonts w:ascii="Calibri" w:cs="Calibri" w:eastAsia="Calibri" w:hAnsi="Calibri"/>
        </w:rPr>
      </w:pPr>
      <w:r w:rsidDel="00000000" w:rsidR="00000000" w:rsidRPr="00000000">
        <w:rPr>
          <w:rFonts w:ascii="Calibri" w:cs="Calibri" w:eastAsia="Calibri" w:hAnsi="Calibri"/>
          <w:rtl w:val="0"/>
        </w:rPr>
        <w:t xml:space="preserve">Návrh projektu </w:t>
      </w:r>
      <w:r w:rsidDel="00000000" w:rsidR="00000000" w:rsidRPr="00000000">
        <w:rPr>
          <w:rFonts w:ascii="Calibri" w:cs="Calibri" w:eastAsia="Calibri" w:hAnsi="Calibri"/>
          <w:highlight w:val="yellow"/>
          <w:rtl w:val="0"/>
        </w:rPr>
        <w:t xml:space="preserve">XXXX</w:t>
      </w:r>
      <w:r w:rsidDel="00000000" w:rsidR="00000000" w:rsidRPr="00000000">
        <w:rPr>
          <w:rFonts w:ascii="Calibri" w:cs="Calibri" w:eastAsia="Calibri" w:hAnsi="Calibri"/>
          <w:rtl w:val="0"/>
        </w:rPr>
        <w:t xml:space="preserve"> s názvem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byl přijat 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XXX.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60" w:lineRule="auto"/>
        <w:rPr>
          <w:rFonts w:ascii="Calibri" w:cs="Calibri" w:eastAsia="Calibri" w:hAnsi="Calibri"/>
        </w:rPr>
      </w:pPr>
      <w:r w:rsidDel="00000000" w:rsidR="00000000" w:rsidRPr="00000000">
        <w:rPr>
          <w:rFonts w:ascii="Calibri" w:cs="Calibri" w:eastAsia="Calibri" w:hAnsi="Calibri"/>
          <w:rtl w:val="0"/>
        </w:rPr>
        <w:t xml:space="preserve">V souladu s § 9 ZPVV se proto vydává toto Rozhodnutí. Veškeré pojmy použité v Rozhodnutí jsou definovány ve Všeobecných podmínkách.</w:t>
      </w:r>
    </w:p>
    <w:p w:rsidR="00000000" w:rsidDel="00000000" w:rsidP="00000000" w:rsidRDefault="00000000" w:rsidRPr="00000000" w14:paraId="00000021">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24">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000000" w:rsidDel="00000000" w:rsidP="00000000" w:rsidRDefault="00000000" w:rsidRPr="00000000" w14:paraId="00000025">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p>
    <w:p w:rsidR="00000000" w:rsidDel="00000000" w:rsidP="00000000" w:rsidRDefault="00000000" w:rsidRPr="00000000" w14:paraId="00000026">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Podpora bude poskytnuta formou zvýšení výdajů organizační složky státu, která je příjemcem, ve smyslu § 4 odst. 1 ZPVV.</w:t>
      </w:r>
    </w:p>
    <w:p w:rsidR="00000000" w:rsidDel="00000000" w:rsidP="00000000" w:rsidRDefault="00000000" w:rsidRPr="00000000" w14:paraId="00000027">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9">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A">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p>
    <w:p w:rsidR="00000000" w:rsidDel="00000000" w:rsidP="00000000" w:rsidRDefault="00000000" w:rsidRPr="00000000" w14:paraId="0000002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D">
      <w:pPr>
        <w:numPr>
          <w:ilvl w:val="0"/>
          <w:numId w:val="2"/>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w:t>
      </w:r>
    </w:p>
    <w:p w:rsidR="00000000" w:rsidDel="00000000" w:rsidP="00000000" w:rsidRDefault="00000000" w:rsidRPr="00000000" w14:paraId="0000002E">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F">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použijí se přednostně ustanovení Rozhodnutí, dále ustanovení Všeobecných podmínek a dále Závazných parametrů řešení projektu.</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bookmark=id.gjdgxs" w:id="3"/>
    <w:bookmarkEnd w:id="3"/>
    <w:p w:rsidR="00000000" w:rsidDel="00000000" w:rsidP="00000000" w:rsidRDefault="00000000" w:rsidRPr="00000000" w14:paraId="0000003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33">
      <w:pPr>
        <w:numPr>
          <w:ilvl w:val="0"/>
          <w:numId w:val="1"/>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w:t>
      </w:r>
    </w:p>
    <w:p w:rsidR="00000000" w:rsidDel="00000000" w:rsidP="00000000" w:rsidRDefault="00000000" w:rsidRPr="00000000" w14:paraId="00000037">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8">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9">
      <w:pPr>
        <w:numPr>
          <w:ilvl w:val="0"/>
          <w:numId w:val="1"/>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A">
      <w:pPr>
        <w:numPr>
          <w:ilvl w:val="0"/>
          <w:numId w:val="1"/>
        </w:numPr>
        <w:ind w:left="425" w:hanging="425"/>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B">
      <w:pPr>
        <w:ind w:left="850.3937007874017" w:firstLine="0"/>
        <w:rPr>
          <w:rFonts w:ascii="Calibri" w:cs="Calibri" w:eastAsia="Calibri" w:hAnsi="Calibri"/>
        </w:rPr>
      </w:pPr>
      <w:bookmarkStart w:colFirst="0" w:colLast="0" w:name="_heading=h.c3pc2xfm74uy" w:id="4"/>
      <w:bookmarkEnd w:id="4"/>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425" w:hanging="425"/>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D">
      <w:pPr>
        <w:numPr>
          <w:ilvl w:val="0"/>
          <w:numId w:val="1"/>
        </w:numPr>
        <w:ind w:left="425" w:hanging="425"/>
        <w:rPr/>
      </w:pPr>
      <w:r w:rsidDel="00000000" w:rsidR="00000000" w:rsidRPr="00000000">
        <w:rPr>
          <w:rFonts w:ascii="Calibri" w:cs="Calibri" w:eastAsia="Calibri" w:hAnsi="Calibri"/>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E">
      <w:pPr>
        <w:ind w:left="0" w:right="566" w:firstLine="850.3937007874017"/>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 17 Všeobecných podmínek se doplňuje o nový odst. 11, který zní:</w:t>
      </w:r>
    </w:p>
    <w:p w:rsidR="00000000" w:rsidDel="00000000" w:rsidP="00000000" w:rsidRDefault="00000000" w:rsidRPr="00000000" w14:paraId="00000040">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1">
      <w:pPr>
        <w:numPr>
          <w:ilvl w:val="0"/>
          <w:numId w:val="1"/>
        </w:numPr>
        <w:ind w:left="425"/>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2">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p>
    <w:p w:rsidR="00000000" w:rsidDel="00000000" w:rsidP="00000000" w:rsidRDefault="00000000" w:rsidRPr="00000000" w14:paraId="00000044">
      <w:pPr>
        <w:numPr>
          <w:ilvl w:val="0"/>
          <w:numId w:val="6"/>
        </w:numPr>
        <w:spacing w:after="0"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do 60 kalendářních dnů ode dne nabytí účinnosti smlouvy a</w:t>
      </w:r>
      <w:r w:rsidDel="00000000" w:rsidR="00000000" w:rsidRPr="00000000">
        <w:rPr>
          <w:rtl w:val="0"/>
        </w:rPr>
      </w:r>
    </w:p>
    <w:p w:rsidR="00000000" w:rsidDel="00000000" w:rsidP="00000000" w:rsidRDefault="00000000" w:rsidRPr="00000000" w14:paraId="00000045">
      <w:pPr>
        <w:numPr>
          <w:ilvl w:val="0"/>
          <w:numId w:val="6"/>
        </w:numPr>
        <w:spacing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r w:rsidDel="00000000" w:rsidR="00000000" w:rsidRPr="00000000">
        <w:rPr>
          <w:rtl w:val="0"/>
        </w:rPr>
      </w:r>
    </w:p>
    <w:p w:rsidR="00000000" w:rsidDel="00000000" w:rsidP="00000000" w:rsidRDefault="00000000" w:rsidRPr="00000000" w14:paraId="00000046">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dodržovat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u w:val="none"/>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8">
      <w:pPr>
        <w:spacing w:after="240" w:before="240" w:lineRule="auto"/>
        <w:ind w:left="860" w:right="-180"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9">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A">
      <w:pPr>
        <w:numPr>
          <w:ilvl w:val="0"/>
          <w:numId w:val="1"/>
        </w:numPr>
        <w:ind w:left="425" w:right="-180"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B">
      <w:pPr>
        <w:ind w:left="860" w:right="-180"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0" w:lineRule="auto"/>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2">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p>
    <w:p w:rsidR="00000000" w:rsidDel="00000000" w:rsidP="00000000" w:rsidRDefault="00000000" w:rsidRPr="00000000" w14:paraId="00000053">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se vydává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6"/>
          <w:numId w:val="3"/>
        </w:numPr>
        <w:spacing w:before="0" w:line="240" w:lineRule="auto"/>
        <w:ind w:left="5040" w:firstLine="147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7">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5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9">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A">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bl>
    <w:bookmarkStart w:colFirst="0" w:colLast="0" w:name="bookmark=id.30j0zll" w:id="5"/>
    <w:bookmarkEnd w:id="5"/>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rFonts w:ascii="Calibri" w:cs="Calibri" w:eastAsia="Calibri" w:hAnsi="Calibri"/>
        <w:sz w:val="16"/>
        <w:szCs w:val="16"/>
      </w:rPr>
    </w:pPr>
    <w:bookmarkStart w:colFirst="0" w:colLast="0" w:name="_heading=h.1fob9te" w:id="6"/>
    <w:bookmarkEnd w:id="6"/>
    <w:r w:rsidDel="00000000" w:rsidR="00000000" w:rsidRPr="00000000">
      <w:rPr>
        <w:rFonts w:ascii="Calibri" w:cs="Calibri" w:eastAsia="Calibri" w:hAnsi="Calibri"/>
        <w:sz w:val="16"/>
        <w:szCs w:val="16"/>
        <w:rtl w:val="0"/>
      </w:rPr>
      <w:t xml:space="preserve">F-353, verze 3</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536"/>
        <w:tab w:val="right" w:leader="none" w:pos="9072"/>
      </w:tabs>
      <w:spacing w:before="1134"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-892168</wp:posOffset>
          </wp:positionH>
          <wp:positionV relativeFrom="paragraph">
            <wp:posOffset>-441955</wp:posOffset>
          </wp:positionV>
          <wp:extent cx="1439545" cy="1439545"/>
          <wp:effectExtent b="0" l="0" r="0" t="0"/>
          <wp:wrapNone/>
          <wp:docPr id="5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F">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p>
  <w:p w:rsidR="00000000" w:rsidDel="00000000" w:rsidP="00000000" w:rsidRDefault="00000000" w:rsidRPr="00000000" w14:paraId="00000060">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5">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E12F54"/>
    <w:rPr>
      <w:color w:val="000000"/>
    </w:rPr>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kladntext">
    <w:name w:val="Body Text"/>
    <w:basedOn w:val="Normln"/>
    <w:link w:val="ZkladntextChar"/>
    <w:uiPriority w:val="99"/>
    <w:semiHidden w:val="1"/>
    <w:unhideWhenUsed w:val="1"/>
    <w:rsid w:val="00E12F54"/>
    <w:pPr>
      <w:autoSpaceDE w:val="0"/>
      <w:autoSpaceDN w:val="0"/>
      <w:adjustRightInd w:val="0"/>
      <w:spacing w:after="120"/>
    </w:pPr>
    <w:rPr>
      <w:rFonts w:eastAsiaTheme="minorHAnsi"/>
      <w:lang w:eastAsia="en-US"/>
    </w:rPr>
  </w:style>
  <w:style w:type="character" w:styleId="ZkladntextChar" w:customStyle="1">
    <w:name w:val="Základní text Char"/>
    <w:basedOn w:val="Standardnpsmoodstavce"/>
    <w:link w:val="Zkladntext"/>
    <w:uiPriority w:val="99"/>
    <w:semiHidden w:val="1"/>
    <w:rsid w:val="00E12F54"/>
    <w:rPr>
      <w:rFonts w:ascii="Cambria" w:cs="Cambria" w:hAnsi="Cambria"/>
      <w:color w:val="000000"/>
    </w:rPr>
  </w:style>
  <w:style w:type="paragraph" w:styleId="Zhlav">
    <w:name w:val="header"/>
    <w:basedOn w:val="Normln"/>
    <w:link w:val="ZhlavChar"/>
    <w:uiPriority w:val="99"/>
    <w:unhideWhenUsed w:val="1"/>
    <w:rsid w:val="0093307C"/>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3307C"/>
    <w:rPr>
      <w:rFonts w:ascii="Cambria" w:cs="Cambria" w:eastAsia="Cambria" w:hAnsi="Cambria"/>
      <w:color w:val="000000"/>
      <w:lang w:eastAsia="cs-CZ"/>
    </w:rPr>
  </w:style>
  <w:style w:type="paragraph" w:styleId="Zpat">
    <w:name w:val="footer"/>
    <w:basedOn w:val="Normln"/>
    <w:link w:val="ZpatChar"/>
    <w:uiPriority w:val="99"/>
    <w:unhideWhenUsed w:val="1"/>
    <w:rsid w:val="0093307C"/>
    <w:pPr>
      <w:tabs>
        <w:tab w:val="center" w:pos="4536"/>
        <w:tab w:val="right" w:pos="9072"/>
      </w:tabs>
      <w:spacing w:before="0" w:line="240" w:lineRule="auto"/>
    </w:pPr>
  </w:style>
  <w:style w:type="character" w:styleId="ZpatChar" w:customStyle="1">
    <w:name w:val="Zápatí Char"/>
    <w:basedOn w:val="Standardnpsmoodstavce"/>
    <w:link w:val="Zpat"/>
    <w:uiPriority w:val="99"/>
    <w:rsid w:val="0093307C"/>
    <w:rPr>
      <w:rFonts w:ascii="Cambria" w:cs="Cambria" w:eastAsia="Cambria" w:hAnsi="Cambria"/>
      <w:color w:val="000000"/>
      <w:lang w:eastAsia="cs-CZ"/>
    </w:rPr>
  </w:style>
  <w:style w:type="paragraph" w:styleId="Zpat1" w:customStyle="1">
    <w:name w:val="Zápatí1"/>
    <w:basedOn w:val="Zpat"/>
    <w:qFormat w:val="1"/>
    <w:rsid w:val="0093307C"/>
    <w:pPr>
      <w:autoSpaceDE w:val="0"/>
      <w:autoSpaceDN w:val="0"/>
      <w:adjustRightInd w:val="0"/>
      <w:jc w:val="right"/>
      <w:textAlignment w:val="center"/>
    </w:pPr>
    <w:rPr>
      <w:rFonts w:eastAsiaTheme="minorHAnsi"/>
      <w:noProof w:val="1"/>
      <w:sz w:val="16"/>
    </w:rPr>
  </w:style>
  <w:style w:type="paragraph" w:styleId="Odstavecseseznamem">
    <w:name w:val="List Paragraph"/>
    <w:basedOn w:val="Normln"/>
    <w:uiPriority w:val="34"/>
    <w:qFormat w:val="1"/>
    <w:rsid w:val="003518C6"/>
    <w:pPr>
      <w:ind w:left="720"/>
      <w:contextualSpacing w:val="1"/>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cpz5kyx5ZAx3rRI17x/Gc/jXZw==">AMUW2mUuJ7JVNJ4vf1FvE3jbHFPPIX9wqYzzkZ7nvqq42LKozamSIXWTOnOtdK1Wc6hU6AfRx8zgO5SE9dJDTviat57d8Lucxsm2snB5DG6nX7ZxkDElaL0YsngxvJeOpZ4TDdGbJuCkEA1C267O9LOVGHfdfWvH71BQwGXE8s3S/PbNL7AICgUbOULeXv+9IY+UJSDHISrCQRt0qjKRQFmDPvu2rcIJEjKsu2p6gb1H64rU5bDbDO5GOK1e6mWjytCwL3+K7ZiS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2019-12-15T15:20:00Z</dcterms:created>
  <dc:creator>Michaela Kaňová</dc:creator>
</cp:coreProperties>
</file>